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1898"/>
        <w:gridCol w:w="99"/>
        <w:gridCol w:w="7488"/>
        <w:gridCol w:w="82"/>
        <w:gridCol w:w="1744"/>
        <w:gridCol w:w="200"/>
      </w:tblGrid>
      <w:tr w:rsidR="00A93951">
        <w:trPr>
          <w:trHeight w:val="1215"/>
        </w:trPr>
        <w:tc>
          <w:tcPr>
            <w:tcW w:w="171" w:type="dxa"/>
          </w:tcPr>
          <w:p w:rsidR="00A93951" w:rsidRDefault="004417BE">
            <w:pPr>
              <w:pStyle w:val="EmptyCellLayoutStyle"/>
              <w:spacing w:after="0" w:line="240" w:lineRule="auto"/>
            </w:pPr>
            <w:bookmarkStart w:id="0" w:name="_GoBack"/>
            <w:bookmarkEnd w:id="0"/>
            <w:r>
              <w:t>.</w:t>
            </w:r>
          </w:p>
          <w:p w:rsidR="004417BE" w:rsidRDefault="004417BE">
            <w:pPr>
              <w:pStyle w:val="EmptyCellLayoutStyle"/>
              <w:spacing w:after="0" w:line="240" w:lineRule="auto"/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951" w:rsidRDefault="00ED48B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205563" cy="709094"/>
                  <wp:effectExtent l="0" t="0" r="0" b="0"/>
                  <wp:docPr id="1" name="im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63" cy="709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7488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88"/>
            </w:tblGrid>
            <w:tr w:rsidR="00A93951">
              <w:trPr>
                <w:trHeight w:val="1537"/>
              </w:trPr>
              <w:tc>
                <w:tcPr>
                  <w:tcW w:w="7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</w:rPr>
                    <w:t xml:space="preserve">Department of Planning &amp; Sustainability </w:t>
                  </w:r>
                </w:p>
                <w:p w:rsidR="00A93951" w:rsidRDefault="00ED48B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330 Ponce De Leon Avenue, Suite 300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br/>
                    <w:t>Decatur, GA 30030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br/>
                    <w:t>(404) 371-2155 or (404) 371-2813 (Fax)</w:t>
                  </w:r>
                </w:p>
              </w:tc>
            </w:tr>
          </w:tbl>
          <w:p w:rsidR="00A93951" w:rsidRDefault="00A93951">
            <w:pPr>
              <w:spacing w:after="0" w:line="240" w:lineRule="auto"/>
            </w:pPr>
          </w:p>
        </w:tc>
        <w:tc>
          <w:tcPr>
            <w:tcW w:w="82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3951" w:rsidRDefault="00ED48B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07567" cy="1063264"/>
                  <wp:effectExtent l="0" t="0" r="0" b="0"/>
                  <wp:docPr id="2" name="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567" cy="106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</w:tr>
      <w:tr w:rsidR="00A93951">
        <w:trPr>
          <w:trHeight w:val="99"/>
        </w:trPr>
        <w:tc>
          <w:tcPr>
            <w:tcW w:w="171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898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7488" w:type="dxa"/>
            <w:vMerge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744" w:type="dxa"/>
            <w:vMerge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</w:tr>
      <w:tr w:rsidR="00A93951">
        <w:trPr>
          <w:trHeight w:val="300"/>
        </w:trPr>
        <w:tc>
          <w:tcPr>
            <w:tcW w:w="171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898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98"/>
            </w:tblGrid>
            <w:tr w:rsidR="00A93951">
              <w:trPr>
                <w:trHeight w:val="241"/>
              </w:trPr>
              <w:tc>
                <w:tcPr>
                  <w:tcW w:w="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6"/>
                    </w:rPr>
                    <w:t>Michael L. Thurmond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16"/>
                    </w:rPr>
                    <w:br/>
                    <w:t>Chief Executive Officer</w:t>
                  </w:r>
                </w:p>
              </w:tc>
            </w:tr>
          </w:tbl>
          <w:p w:rsidR="00A93951" w:rsidRDefault="00A93951">
            <w:pPr>
              <w:spacing w:after="0" w:line="240" w:lineRule="auto"/>
            </w:pPr>
          </w:p>
        </w:tc>
        <w:tc>
          <w:tcPr>
            <w:tcW w:w="99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7488" w:type="dxa"/>
            <w:vMerge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744" w:type="dxa"/>
            <w:vMerge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</w:tr>
      <w:tr w:rsidR="00A93951">
        <w:trPr>
          <w:trHeight w:val="19"/>
        </w:trPr>
        <w:tc>
          <w:tcPr>
            <w:tcW w:w="171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898" w:type="dxa"/>
            <w:vMerge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7488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744" w:type="dxa"/>
            <w:vMerge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</w:tr>
      <w:tr w:rsidR="00A93951">
        <w:trPr>
          <w:trHeight w:val="50"/>
        </w:trPr>
        <w:tc>
          <w:tcPr>
            <w:tcW w:w="171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898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7488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744" w:type="dxa"/>
            <w:vMerge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</w:tr>
      <w:tr w:rsidR="00A93951">
        <w:trPr>
          <w:trHeight w:val="210"/>
        </w:trPr>
        <w:tc>
          <w:tcPr>
            <w:tcW w:w="171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898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7488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744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</w:tr>
      <w:tr w:rsidR="00F04605" w:rsidTr="00F04605">
        <w:trPr>
          <w:trHeight w:val="1289"/>
        </w:trPr>
        <w:tc>
          <w:tcPr>
            <w:tcW w:w="171" w:type="dxa"/>
          </w:tcPr>
          <w:p w:rsidR="00A93951" w:rsidRDefault="00A93951" w:rsidP="00F04605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189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11"/>
            </w:tblGrid>
            <w:tr w:rsidR="00A93951">
              <w:trPr>
                <w:trHeight w:val="1211"/>
              </w:trPr>
              <w:tc>
                <w:tcPr>
                  <w:tcW w:w="113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 w:rsidP="00F04605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  <w:u w:val="single"/>
                    </w:rPr>
                    <w:t>Notice of Public Hearing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br/>
                    <w:t xml:space="preserve">Notice is hereby given by the DeKalb County Zoning Board of Appeals that a hearing will be held in the Auditorium of the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Manuel J. Maloof Administration Center, 1300 Commerce Drive, Decatur, Georgia 30030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, on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December 12, 2018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at 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 xml:space="preserve">1:00 PM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 consider the following from the DeKalb County Zoning Ordinance, Sign Ordinance, and/or Land Development Regulations.</w:t>
                  </w:r>
                </w:p>
              </w:tc>
            </w:tr>
          </w:tbl>
          <w:p w:rsidR="00A93951" w:rsidRDefault="00A93951" w:rsidP="00F04605">
            <w:pPr>
              <w:spacing w:after="0" w:line="240" w:lineRule="auto"/>
              <w:jc w:val="center"/>
            </w:pPr>
          </w:p>
        </w:tc>
        <w:tc>
          <w:tcPr>
            <w:tcW w:w="200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</w:tr>
      <w:tr w:rsidR="00A93951">
        <w:trPr>
          <w:trHeight w:val="80"/>
        </w:trPr>
        <w:tc>
          <w:tcPr>
            <w:tcW w:w="171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898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7488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744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</w:tr>
      <w:tr w:rsidR="00F04605" w:rsidTr="00F04605">
        <w:tc>
          <w:tcPr>
            <w:tcW w:w="171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898" w:type="dxa"/>
            <w:gridSpan w:val="5"/>
          </w:tcPr>
          <w:tbl>
            <w:tblPr>
              <w:tblW w:w="1131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7"/>
              <w:gridCol w:w="2633"/>
              <w:gridCol w:w="7431"/>
            </w:tblGrid>
            <w:tr w:rsidR="00F04605" w:rsidTr="00F04605">
              <w:trPr>
                <w:trHeight w:val="28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NEW HEARING ITEMS</w:t>
                  </w:r>
                </w:p>
              </w:tc>
            </w:tr>
            <w:tr w:rsidR="00F04605" w:rsidTr="00F04605">
              <w:trPr>
                <w:trHeight w:val="131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A93951">
                  <w:pPr>
                    <w:spacing w:after="0" w:line="240" w:lineRule="auto"/>
                  </w:pPr>
                </w:p>
              </w:tc>
            </w:tr>
            <w:tr w:rsidR="00A93951" w:rsidTr="00F04605">
              <w:trPr>
                <w:trHeight w:val="282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F0460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N.1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A-18-1242965</w:t>
                  </w:r>
                </w:p>
              </w:tc>
              <w:tc>
                <w:tcPr>
                  <w:tcW w:w="7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18-110-01-052</w:t>
                  </w:r>
                </w:p>
              </w:tc>
            </w:tr>
            <w:tr w:rsidR="00F04605" w:rsidTr="00F04605">
              <w:trPr>
                <w:trHeight w:val="28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Commission District 02   Super District 06</w:t>
                  </w:r>
                </w:p>
              </w:tc>
            </w:tr>
            <w:tr w:rsidR="00F04605" w:rsidTr="00F04605">
              <w:trPr>
                <w:trHeight w:val="28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 w:rsidP="00F0460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Application of LINDA I. DUNLAVY, DUNLAVY LAW GROUP, LLC to request a variance from Section 27-2.2.1 of the DeKalb </w:t>
                  </w:r>
                  <w:r w:rsidR="00F04605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County Zoning Ordinance to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increase the maximum lot coverage from 35% to 37.4% to allow construction of a swimming pool, relating to the R-85 zoning distri</w:t>
                  </w:r>
                  <w:r w:rsidR="00F04605">
                    <w:rPr>
                      <w:rFonts w:ascii="Calibri" w:eastAsia="Calibri" w:hAnsi="Calibri"/>
                      <w:color w:val="000000"/>
                      <w:sz w:val="22"/>
                    </w:rPr>
                    <w:t>ct. The property is located east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of Breezy Lane Northea</w:t>
                  </w:r>
                  <w:r w:rsidR="00F04605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st, approximately 150 feet west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of Kittredge Court, at 1315 Breezy Lan</w:t>
                  </w:r>
                  <w:r w:rsidR="00F04605">
                    <w:rPr>
                      <w:rFonts w:ascii="Calibri" w:eastAsia="Calibri" w:hAnsi="Calibri"/>
                      <w:color w:val="000000"/>
                      <w:sz w:val="22"/>
                    </w:rPr>
                    <w:t>e Northeast, Atlanta, Georgia.</w:t>
                  </w:r>
                </w:p>
              </w:tc>
            </w:tr>
            <w:tr w:rsidR="00F04605" w:rsidTr="00F04605">
              <w:trPr>
                <w:trHeight w:val="10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A93951">
                  <w:pPr>
                    <w:spacing w:after="0" w:line="240" w:lineRule="auto"/>
                  </w:pPr>
                </w:p>
              </w:tc>
            </w:tr>
            <w:tr w:rsidR="00F04605" w:rsidTr="00F04605">
              <w:trPr>
                <w:trHeight w:val="131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A93951">
                  <w:pPr>
                    <w:spacing w:after="0" w:line="240" w:lineRule="auto"/>
                  </w:pPr>
                </w:p>
              </w:tc>
            </w:tr>
            <w:tr w:rsidR="00A93951" w:rsidTr="00F04605">
              <w:trPr>
                <w:trHeight w:val="282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F0460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N.2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A-18-1242966</w:t>
                  </w:r>
                </w:p>
              </w:tc>
              <w:tc>
                <w:tcPr>
                  <w:tcW w:w="7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18-113-09-001</w:t>
                  </w:r>
                </w:p>
              </w:tc>
            </w:tr>
            <w:tr w:rsidR="00F04605" w:rsidTr="00F04605">
              <w:trPr>
                <w:trHeight w:val="28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Commission District 02   Super District 06</w:t>
                  </w:r>
                </w:p>
              </w:tc>
            </w:tr>
            <w:tr w:rsidR="00F04605" w:rsidTr="00F04605">
              <w:trPr>
                <w:trHeight w:val="28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 w:rsidP="00F0460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Application of NAN E. PAYNE to request a variance from Section 27-2.2.1 of the DeKalb County Zoning Ordinance to</w:t>
                  </w:r>
                  <w:r w:rsidR="00F04605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reduce the front side corner</w:t>
                  </w:r>
                  <w:r w:rsidR="00F04605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setback from  35 feet to 15.8 feet for a proposed two story residence structure, relating to the R-100 zoning district and the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Leafmore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Creek Park Hills Overlay district. The property is at the southeast corner of Oak Grove Drive and Heather Drive, at 1261 Oak Grove Drive, Decatur, Georgia</w:t>
                  </w:r>
                </w:p>
              </w:tc>
            </w:tr>
            <w:tr w:rsidR="00F04605" w:rsidTr="00F04605">
              <w:trPr>
                <w:trHeight w:val="10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A93951">
                  <w:pPr>
                    <w:spacing w:after="0" w:line="240" w:lineRule="auto"/>
                  </w:pPr>
                </w:p>
              </w:tc>
            </w:tr>
            <w:tr w:rsidR="00F04605" w:rsidTr="00F04605">
              <w:trPr>
                <w:trHeight w:val="131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A93951">
                  <w:pPr>
                    <w:spacing w:after="0" w:line="240" w:lineRule="auto"/>
                  </w:pPr>
                </w:p>
              </w:tc>
            </w:tr>
            <w:tr w:rsidR="00A93951" w:rsidTr="00F04605">
              <w:trPr>
                <w:trHeight w:val="282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N</w:t>
                  </w:r>
                  <w:r w:rsidR="00F04605">
                    <w:rPr>
                      <w:rFonts w:ascii="Calibri" w:eastAsia="Calibri" w:hAnsi="Calibri"/>
                      <w:color w:val="000000"/>
                      <w:sz w:val="22"/>
                    </w:rPr>
                    <w:t>.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A-18-1242969</w:t>
                  </w:r>
                </w:p>
              </w:tc>
              <w:tc>
                <w:tcPr>
                  <w:tcW w:w="7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18-105-02-120</w:t>
                  </w:r>
                </w:p>
              </w:tc>
            </w:tr>
            <w:tr w:rsidR="00F04605" w:rsidTr="00F04605">
              <w:trPr>
                <w:trHeight w:val="28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Commission District 02   Super District 06</w:t>
                  </w:r>
                </w:p>
              </w:tc>
            </w:tr>
            <w:tr w:rsidR="00F04605" w:rsidTr="00F04605">
              <w:trPr>
                <w:trHeight w:val="28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 w:rsidP="00F0460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Application of JASON PATSIOS C/O JULIE L. SELLERS to request a variance from Section 27-5.2.1 of the DeKa</w:t>
                  </w:r>
                  <w:r w:rsidR="00F04605"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lb County Zoning Ordinance to reduce the average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front yard setback from 35.79 feet to 15 feet, relating to the R-85 zoning district. The property is located on the eastside of Biltmore Drive, approximately 199 feet west of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Rogeretta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Drive, at 1169 Biltmore Drive Northeast, Atlanta, Georgia. </w:t>
                  </w:r>
                </w:p>
              </w:tc>
            </w:tr>
            <w:tr w:rsidR="00F04605" w:rsidTr="00F04605">
              <w:trPr>
                <w:trHeight w:val="10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A93951">
                  <w:pPr>
                    <w:spacing w:after="0" w:line="240" w:lineRule="auto"/>
                  </w:pPr>
                </w:p>
              </w:tc>
            </w:tr>
            <w:tr w:rsidR="00F04605" w:rsidTr="00F04605">
              <w:trPr>
                <w:trHeight w:val="131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A93951">
                  <w:pPr>
                    <w:spacing w:after="0" w:line="240" w:lineRule="auto"/>
                  </w:pPr>
                </w:p>
              </w:tc>
            </w:tr>
            <w:tr w:rsidR="00A93951" w:rsidTr="00F04605">
              <w:trPr>
                <w:trHeight w:val="282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N.4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A-18-1242973</w:t>
                  </w:r>
                </w:p>
              </w:tc>
              <w:tc>
                <w:tcPr>
                  <w:tcW w:w="7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18-205-12-013</w:t>
                  </w:r>
                </w:p>
              </w:tc>
            </w:tr>
            <w:tr w:rsidR="00F04605" w:rsidTr="00F04605">
              <w:trPr>
                <w:trHeight w:val="28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Commission District 02   Super District 06</w:t>
                  </w:r>
                </w:p>
              </w:tc>
            </w:tr>
            <w:tr w:rsidR="00F04605" w:rsidTr="00F04605">
              <w:trPr>
                <w:trHeight w:val="28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 w:rsidP="00F0460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Application of KYLE DRAKE to request a variance from Section 27-2.2.1 of the DeKalb County Zoning Ordinance to reduce the side yard setback from 10 feet to 4.9 feet for a proposed enclosed carport, relating to the R-100 zoning district and the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Meadowcliff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Subdivision Overlay District. The property is located on the eastside of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Oakawana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Road, approximately 200 feet west of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Briarwillow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Drive, at 2163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Oakawana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Road</w:t>
                  </w:r>
                  <w:r w:rsidR="00F04605">
                    <w:rPr>
                      <w:rFonts w:ascii="Calibri" w:eastAsia="Calibri" w:hAnsi="Calibri"/>
                      <w:color w:val="000000"/>
                      <w:sz w:val="22"/>
                    </w:rPr>
                    <w:t>, Atlanta, Georgia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. </w:t>
                  </w:r>
                </w:p>
              </w:tc>
            </w:tr>
            <w:tr w:rsidR="00F04605" w:rsidTr="00F04605">
              <w:trPr>
                <w:trHeight w:val="10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A93951">
                  <w:pPr>
                    <w:spacing w:after="0" w:line="240" w:lineRule="auto"/>
                  </w:pPr>
                </w:p>
              </w:tc>
            </w:tr>
            <w:tr w:rsidR="00F04605" w:rsidTr="00F04605">
              <w:trPr>
                <w:trHeight w:val="131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A93951">
                  <w:pPr>
                    <w:spacing w:after="0" w:line="240" w:lineRule="auto"/>
                  </w:pPr>
                </w:p>
                <w:p w:rsidR="00F04605" w:rsidRDefault="00F04605">
                  <w:pPr>
                    <w:spacing w:after="0" w:line="240" w:lineRule="auto"/>
                  </w:pPr>
                </w:p>
                <w:p w:rsidR="00F04605" w:rsidRDefault="00F04605">
                  <w:pPr>
                    <w:spacing w:after="0" w:line="240" w:lineRule="auto"/>
                  </w:pPr>
                </w:p>
                <w:p w:rsidR="00F04605" w:rsidRDefault="00F04605">
                  <w:pPr>
                    <w:spacing w:after="0" w:line="240" w:lineRule="auto"/>
                  </w:pPr>
                </w:p>
                <w:p w:rsidR="00F04605" w:rsidRDefault="00F04605">
                  <w:pPr>
                    <w:spacing w:after="0" w:line="240" w:lineRule="auto"/>
                  </w:pPr>
                </w:p>
              </w:tc>
            </w:tr>
            <w:tr w:rsidR="00A93951" w:rsidTr="00F04605">
              <w:trPr>
                <w:trHeight w:val="282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lastRenderedPageBreak/>
                    <w:t>N.5</w:t>
                  </w:r>
                </w:p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A-18-1242986</w:t>
                  </w:r>
                </w:p>
              </w:tc>
              <w:tc>
                <w:tcPr>
                  <w:tcW w:w="7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18-015-01-022</w:t>
                  </w:r>
                </w:p>
              </w:tc>
            </w:tr>
            <w:tr w:rsidR="00F04605" w:rsidTr="00F04605">
              <w:trPr>
                <w:trHeight w:val="28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Commission District 04   Super District 07</w:t>
                  </w:r>
                </w:p>
              </w:tc>
            </w:tr>
            <w:tr w:rsidR="00F04605" w:rsidTr="00F04605">
              <w:trPr>
                <w:trHeight w:val="28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ED48BC" w:rsidP="00F0460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Application of MISRAK WOLDE to request an appeal to an administrative decision from Section 27-9.1.3 of the DeKalb County Zoning Ordinance that a proposed establishment selling beer and wine until midnight is a Late Night Entertainment, that requires a Special Land Use Permit, relating to the C-1 zoning district. The property is located on the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southside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of Rockbridge Road, approximately 494 feet east of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Allgood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Road, at 4583 Rockbridge Road, Stone Mountain, Georgia</w:t>
                  </w:r>
                  <w:r w:rsidR="00F04605">
                    <w:rPr>
                      <w:rFonts w:ascii="Calibri" w:eastAsia="Calibri" w:hAnsi="Calibri"/>
                      <w:color w:val="000000"/>
                      <w:sz w:val="22"/>
                    </w:rPr>
                    <w:t>.</w:t>
                  </w:r>
                </w:p>
              </w:tc>
            </w:tr>
            <w:tr w:rsidR="00F04605" w:rsidTr="00F04605">
              <w:trPr>
                <w:trHeight w:val="102"/>
              </w:trPr>
              <w:tc>
                <w:tcPr>
                  <w:tcW w:w="11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3951" w:rsidRDefault="00A93951">
                  <w:pPr>
                    <w:spacing w:after="0" w:line="240" w:lineRule="auto"/>
                  </w:pPr>
                </w:p>
              </w:tc>
            </w:tr>
          </w:tbl>
          <w:p w:rsidR="00A93951" w:rsidRDefault="00A93951">
            <w:pPr>
              <w:spacing w:after="0" w:line="240" w:lineRule="auto"/>
            </w:pPr>
          </w:p>
        </w:tc>
        <w:tc>
          <w:tcPr>
            <w:tcW w:w="200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</w:tr>
      <w:tr w:rsidR="00A93951">
        <w:trPr>
          <w:trHeight w:val="7173"/>
        </w:trPr>
        <w:tc>
          <w:tcPr>
            <w:tcW w:w="171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898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7488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82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1744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A93951" w:rsidRDefault="00A93951">
            <w:pPr>
              <w:pStyle w:val="EmptyCellLayoutStyle"/>
              <w:spacing w:after="0" w:line="240" w:lineRule="auto"/>
            </w:pPr>
          </w:p>
        </w:tc>
      </w:tr>
    </w:tbl>
    <w:p w:rsidR="00A93951" w:rsidRDefault="00A93951">
      <w:pPr>
        <w:spacing w:after="0" w:line="240" w:lineRule="auto"/>
      </w:pPr>
    </w:p>
    <w:sectPr w:rsidR="00A93951">
      <w:footerReference w:type="default" r:id="rId10"/>
      <w:pgSz w:w="11908" w:h="16833"/>
      <w:pgMar w:top="720" w:right="0" w:bottom="7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C8" w:rsidRDefault="00ED48BC">
      <w:pPr>
        <w:spacing w:after="0" w:line="240" w:lineRule="auto"/>
      </w:pPr>
      <w:r>
        <w:separator/>
      </w:r>
    </w:p>
  </w:endnote>
  <w:endnote w:type="continuationSeparator" w:id="0">
    <w:p w:rsidR="00DA66C8" w:rsidRDefault="00ED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1"/>
      <w:gridCol w:w="1247"/>
      <w:gridCol w:w="1679"/>
      <w:gridCol w:w="1137"/>
      <w:gridCol w:w="2927"/>
      <w:gridCol w:w="1663"/>
      <w:gridCol w:w="2590"/>
      <w:gridCol w:w="267"/>
    </w:tblGrid>
    <w:tr w:rsidR="00A93951">
      <w:tc>
        <w:tcPr>
          <w:tcW w:w="171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24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679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92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663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590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6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</w:tr>
    <w:tr w:rsidR="00F04605" w:rsidTr="00F04605">
      <w:tc>
        <w:tcPr>
          <w:tcW w:w="171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24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679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996"/>
          </w:tblGrid>
          <w:tr w:rsidR="00A93951">
            <w:trPr>
              <w:trHeight w:val="282"/>
            </w:trPr>
            <w:tc>
              <w:tcPr>
                <w:tcW w:w="99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93951" w:rsidRDefault="00ED48BC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color w:val="FF0000"/>
                  </w:rPr>
                  <w:t xml:space="preserve">PLEASE RUN THIS AD ONE (1) TIME, NO LATER </w:t>
                </w:r>
                <w:proofErr w:type="gramStart"/>
                <w:r>
                  <w:rPr>
                    <w:rFonts w:ascii="Calibri" w:eastAsia="Calibri" w:hAnsi="Calibri"/>
                    <w:b/>
                    <w:color w:val="FF0000"/>
                  </w:rPr>
                  <w:t>THAN .</w:t>
                </w:r>
                <w:proofErr w:type="gramEnd"/>
              </w:p>
            </w:tc>
          </w:tr>
        </w:tbl>
        <w:p w:rsidR="00A93951" w:rsidRDefault="00A93951">
          <w:pPr>
            <w:spacing w:after="0" w:line="240" w:lineRule="auto"/>
          </w:pPr>
        </w:p>
      </w:tc>
      <w:tc>
        <w:tcPr>
          <w:tcW w:w="26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</w:tr>
    <w:tr w:rsidR="00A93951">
      <w:tc>
        <w:tcPr>
          <w:tcW w:w="171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24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679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92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663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590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6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</w:tr>
    <w:tr w:rsidR="00A93951">
      <w:tc>
        <w:tcPr>
          <w:tcW w:w="171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24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679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92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27"/>
          </w:tblGrid>
          <w:tr w:rsidR="00A93951">
            <w:trPr>
              <w:trHeight w:val="199"/>
            </w:trPr>
            <w:tc>
              <w:tcPr>
                <w:tcW w:w="29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93951" w:rsidRDefault="00ED48BC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9A2890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 of 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9A2890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93951" w:rsidRDefault="00A93951">
          <w:pPr>
            <w:spacing w:after="0" w:line="240" w:lineRule="auto"/>
          </w:pPr>
        </w:p>
      </w:tc>
      <w:tc>
        <w:tcPr>
          <w:tcW w:w="1663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590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6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</w:tr>
    <w:tr w:rsidR="00F04605" w:rsidTr="00F04605">
      <w:tc>
        <w:tcPr>
          <w:tcW w:w="171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247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26"/>
          </w:tblGrid>
          <w:tr w:rsidR="00A93951">
            <w:trPr>
              <w:trHeight w:val="199"/>
            </w:trPr>
            <w:tc>
              <w:tcPr>
                <w:tcW w:w="29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93951" w:rsidRDefault="00ED48BC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Print Date: 11/15/2018</w:t>
                </w:r>
              </w:p>
            </w:tc>
          </w:tr>
        </w:tbl>
        <w:p w:rsidR="00A93951" w:rsidRDefault="00A93951">
          <w:pPr>
            <w:spacing w:after="0" w:line="240" w:lineRule="auto"/>
          </w:pPr>
        </w:p>
      </w:tc>
      <w:tc>
        <w:tcPr>
          <w:tcW w:w="113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927" w:type="dxa"/>
          <w:vMerge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663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590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6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</w:tr>
    <w:tr w:rsidR="00F04605" w:rsidTr="00F04605">
      <w:tc>
        <w:tcPr>
          <w:tcW w:w="171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247" w:type="dxa"/>
          <w:gridSpan w:val="2"/>
          <w:vMerge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927" w:type="dxa"/>
          <w:vMerge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663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59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90"/>
          </w:tblGrid>
          <w:tr w:rsidR="00A93951">
            <w:trPr>
              <w:trHeight w:val="194"/>
            </w:trPr>
            <w:tc>
              <w:tcPr>
                <w:tcW w:w="25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93951" w:rsidRDefault="00ED48BC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PL118    </w:t>
                </w:r>
                <w:proofErr w:type="spellStart"/>
                <w:r>
                  <w:rPr>
                    <w:rFonts w:ascii="Calibri" w:eastAsia="Calibri" w:hAnsi="Calibri"/>
                    <w:color w:val="000000"/>
                    <w:sz w:val="16"/>
                  </w:rPr>
                  <w:t>Ver</w:t>
                </w:r>
                <w:proofErr w:type="spellEnd"/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 08312017</w:t>
                </w:r>
              </w:p>
            </w:tc>
          </w:tr>
        </w:tbl>
        <w:p w:rsidR="00A93951" w:rsidRDefault="00A93951">
          <w:pPr>
            <w:spacing w:after="0" w:line="240" w:lineRule="auto"/>
          </w:pPr>
        </w:p>
      </w:tc>
      <w:tc>
        <w:tcPr>
          <w:tcW w:w="26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</w:tr>
    <w:tr w:rsidR="00A93951">
      <w:tc>
        <w:tcPr>
          <w:tcW w:w="171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24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679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92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663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590" w:type="dxa"/>
          <w:vMerge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6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</w:tr>
    <w:tr w:rsidR="00A93951">
      <w:tc>
        <w:tcPr>
          <w:tcW w:w="171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24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679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92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1663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590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  <w:tc>
        <w:tcPr>
          <w:tcW w:w="267" w:type="dxa"/>
        </w:tcPr>
        <w:p w:rsidR="00A93951" w:rsidRDefault="00A9395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C8" w:rsidRDefault="00ED48BC">
      <w:pPr>
        <w:spacing w:after="0" w:line="240" w:lineRule="auto"/>
      </w:pPr>
      <w:r>
        <w:separator/>
      </w:r>
    </w:p>
  </w:footnote>
  <w:footnote w:type="continuationSeparator" w:id="0">
    <w:p w:rsidR="00DA66C8" w:rsidRDefault="00ED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51"/>
    <w:rsid w:val="004417BE"/>
    <w:rsid w:val="009A2890"/>
    <w:rsid w:val="00A93951"/>
    <w:rsid w:val="00B9313E"/>
    <w:rsid w:val="00DA66C8"/>
    <w:rsid w:val="00ED48BC"/>
    <w:rsid w:val="00F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PL118 BOA Champion</vt:lpstr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PL118 BOA Champion</dc:title>
  <dc:creator>McNeil, Jeremy P.</dc:creator>
  <cp:lastModifiedBy>McNeil, Jeremy P.</cp:lastModifiedBy>
  <cp:revision>5</cp:revision>
  <cp:lastPrinted>2018-11-27T23:51:00Z</cp:lastPrinted>
  <dcterms:created xsi:type="dcterms:W3CDTF">2018-11-15T19:05:00Z</dcterms:created>
  <dcterms:modified xsi:type="dcterms:W3CDTF">2018-11-28T14:19:00Z</dcterms:modified>
</cp:coreProperties>
</file>